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77777777" w:rsidR="00C77739" w:rsidRPr="001F5578" w:rsidRDefault="00C77739" w:rsidP="00C77739">
      <w:pPr>
        <w:jc w:val="center"/>
        <w:rPr>
          <w:rFonts w:ascii="Arial" w:hAnsi="Arial" w:cs="Arial"/>
          <w:b/>
        </w:rPr>
      </w:pPr>
      <w:r w:rsidRPr="001F5578">
        <w:rPr>
          <w:rFonts w:ascii="Arial" w:hAnsi="Arial" w:cs="Arial"/>
          <w:b/>
        </w:rPr>
        <w:t>LICITACIÓN PÚBLICA LP-SC-00</w:t>
      </w:r>
      <w:r>
        <w:rPr>
          <w:rFonts w:ascii="Arial" w:hAnsi="Arial" w:cs="Arial"/>
          <w:b/>
        </w:rPr>
        <w:t>2</w:t>
      </w:r>
      <w:r w:rsidRPr="001F5578">
        <w:rPr>
          <w:rFonts w:ascii="Arial" w:hAnsi="Arial" w:cs="Arial"/>
          <w:b/>
        </w:rPr>
        <w:t>-2018</w:t>
      </w:r>
    </w:p>
    <w:p w14:paraId="4ACDAB49" w14:textId="77777777" w:rsidR="00C77739" w:rsidRPr="001F5578" w:rsidRDefault="00C77739" w:rsidP="00C77739">
      <w:pPr>
        <w:jc w:val="center"/>
        <w:rPr>
          <w:rFonts w:ascii="Arial" w:hAnsi="Arial" w:cs="Arial"/>
          <w:b/>
        </w:rPr>
      </w:pPr>
      <w:r w:rsidRPr="001F5578">
        <w:rPr>
          <w:rFonts w:ascii="Arial" w:hAnsi="Arial" w:cs="Arial"/>
          <w:b/>
        </w:rPr>
        <w:t xml:space="preserve">“ADQUISICIÓN DE </w:t>
      </w:r>
      <w:r>
        <w:rPr>
          <w:rFonts w:ascii="Arial" w:hAnsi="Arial" w:cs="Arial"/>
          <w:b/>
        </w:rPr>
        <w:t>CAJAS DE CARTÓN PARA ARCHIVO</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094F9AF"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C77739">
        <w:rPr>
          <w:rFonts w:ascii="Arial" w:hAnsi="Arial" w:cs="Arial"/>
        </w:rPr>
        <w:t>2</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784" w:type="dxa"/>
        <w:jc w:val="center"/>
        <w:tblCellMar>
          <w:left w:w="70" w:type="dxa"/>
          <w:right w:w="70" w:type="dxa"/>
        </w:tblCellMar>
        <w:tblLook w:val="04A0" w:firstRow="1" w:lastRow="0" w:firstColumn="1" w:lastColumn="0" w:noHBand="0" w:noVBand="1"/>
      </w:tblPr>
      <w:tblGrid>
        <w:gridCol w:w="852"/>
        <w:gridCol w:w="1252"/>
        <w:gridCol w:w="1669"/>
        <w:gridCol w:w="976"/>
        <w:gridCol w:w="1216"/>
        <w:gridCol w:w="1243"/>
        <w:gridCol w:w="148"/>
        <w:gridCol w:w="1428"/>
      </w:tblGrid>
      <w:tr w:rsidR="00C77739" w:rsidRPr="00BF1CB4" w14:paraId="154CB769" w14:textId="77777777" w:rsidTr="00C77739">
        <w:trPr>
          <w:trHeight w:val="330"/>
          <w:jc w:val="center"/>
        </w:trPr>
        <w:tc>
          <w:tcPr>
            <w:tcW w:w="8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F01A1D" w14:textId="77777777" w:rsidR="00C77739" w:rsidRPr="00BF1CB4" w:rsidRDefault="00C77739"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125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266F1A" w14:textId="77777777" w:rsidR="00C77739" w:rsidRPr="00BF1CB4" w:rsidRDefault="00C77739"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66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81047F" w14:textId="77777777" w:rsidR="00C77739" w:rsidRPr="00BF1CB4" w:rsidRDefault="00C77739"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9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F966F7C" w14:textId="2D9E8100" w:rsidR="00C77739" w:rsidRPr="00BF1CB4" w:rsidRDefault="00C77739"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CANTIDAD</w:t>
            </w:r>
            <w:r>
              <w:rPr>
                <w:rFonts w:ascii="Arial" w:hAnsi="Arial" w:cs="Arial"/>
                <w:b/>
                <w:bCs/>
                <w:color w:val="000000"/>
                <w:sz w:val="16"/>
                <w:szCs w:val="16"/>
                <w:lang w:val="es-MX" w:eastAsia="es-MX"/>
              </w:rPr>
              <w:t xml:space="preserve"> A COTIZAR</w:t>
            </w:r>
          </w:p>
        </w:tc>
        <w:tc>
          <w:tcPr>
            <w:tcW w:w="121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3FED6B" w14:textId="77777777" w:rsidR="00C77739" w:rsidRPr="00BF1CB4" w:rsidRDefault="00C77739"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RESISTENCIA</w:t>
            </w:r>
          </w:p>
        </w:tc>
        <w:tc>
          <w:tcPr>
            <w:tcW w:w="1243" w:type="dxa"/>
            <w:tcBorders>
              <w:top w:val="single" w:sz="4" w:space="0" w:color="auto"/>
              <w:left w:val="nil"/>
              <w:bottom w:val="single" w:sz="4" w:space="0" w:color="auto"/>
              <w:right w:val="nil"/>
            </w:tcBorders>
            <w:shd w:val="clear" w:color="auto" w:fill="BFBFBF" w:themeFill="background1" w:themeFillShade="BF"/>
            <w:vAlign w:val="center"/>
          </w:tcPr>
          <w:p w14:paraId="34840800" w14:textId="77777777" w:rsidR="00C77739" w:rsidRPr="00BF1CB4" w:rsidRDefault="00C77739"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CONSUMO MENSUAL</w:t>
            </w:r>
            <w:r w:rsidRPr="00BF1CB4">
              <w:rPr>
                <w:rFonts w:ascii="Arial" w:hAnsi="Arial" w:cs="Arial"/>
                <w:b/>
                <w:bCs/>
                <w:color w:val="000000"/>
                <w:sz w:val="16"/>
                <w:szCs w:val="16"/>
                <w:lang w:val="es-MX" w:eastAsia="es-MX"/>
              </w:rPr>
              <w:t xml:space="preserve"> APROXIMADO</w:t>
            </w:r>
          </w:p>
        </w:tc>
        <w:tc>
          <w:tcPr>
            <w:tcW w:w="14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833B194" w14:textId="77777777" w:rsidR="00C77739" w:rsidRPr="00BF1CB4" w:rsidRDefault="00C77739" w:rsidP="0045652A">
            <w:pPr>
              <w:jc w:val="center"/>
              <w:rPr>
                <w:rFonts w:ascii="Arial" w:hAnsi="Arial" w:cs="Arial"/>
                <w:b/>
                <w:bCs/>
                <w:color w:val="000000"/>
                <w:sz w:val="16"/>
                <w:szCs w:val="16"/>
                <w:lang w:val="es-MX" w:eastAsia="es-MX"/>
              </w:rPr>
            </w:pPr>
          </w:p>
        </w:tc>
        <w:tc>
          <w:tcPr>
            <w:tcW w:w="1428" w:type="dxa"/>
            <w:tcBorders>
              <w:top w:val="single" w:sz="4" w:space="0" w:color="auto"/>
              <w:left w:val="nil"/>
              <w:bottom w:val="single" w:sz="4" w:space="0" w:color="auto"/>
              <w:right w:val="single" w:sz="4" w:space="0" w:color="auto"/>
            </w:tcBorders>
            <w:shd w:val="clear" w:color="auto" w:fill="BFBFBF" w:themeFill="background1" w:themeFillShade="BF"/>
          </w:tcPr>
          <w:p w14:paraId="023062D8" w14:textId="77777777" w:rsidR="00C77739" w:rsidRPr="00BF1CB4" w:rsidRDefault="00C77739"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FECHA DE ENTREGA</w:t>
            </w:r>
            <w:r>
              <w:rPr>
                <w:rFonts w:ascii="Arial" w:hAnsi="Arial" w:cs="Arial"/>
                <w:b/>
                <w:bCs/>
                <w:color w:val="000000"/>
                <w:sz w:val="16"/>
                <w:szCs w:val="16"/>
                <w:lang w:val="es-MX" w:eastAsia="es-MX"/>
              </w:rPr>
              <w:t xml:space="preserve"> Y CANTIDAD EXACTA A ENTREGAR AL MES</w:t>
            </w:r>
          </w:p>
        </w:tc>
      </w:tr>
      <w:tr w:rsidR="00C77739" w:rsidRPr="00BF1CB4" w14:paraId="7B7A6A30" w14:textId="77777777" w:rsidTr="00C77739">
        <w:trPr>
          <w:trHeight w:val="300"/>
          <w:jc w:val="center"/>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B2500CD" w14:textId="77777777" w:rsidR="00C77739" w:rsidRPr="00BF1CB4" w:rsidRDefault="00C77739" w:rsidP="0045652A">
            <w:pPr>
              <w:jc w:val="center"/>
              <w:rPr>
                <w:rFonts w:ascii="Arial" w:hAnsi="Arial" w:cs="Arial"/>
                <w:color w:val="000000"/>
                <w:sz w:val="16"/>
                <w:szCs w:val="16"/>
                <w:lang w:val="es-MX" w:eastAsia="es-MX"/>
              </w:rPr>
            </w:pPr>
            <w:r w:rsidRPr="00BF1CB4">
              <w:rPr>
                <w:rFonts w:ascii="Arial" w:hAnsi="Arial" w:cs="Arial"/>
                <w:color w:val="000000"/>
                <w:sz w:val="16"/>
                <w:szCs w:val="16"/>
                <w:lang w:val="es-MX" w:eastAsia="es-MX"/>
              </w:rPr>
              <w:t>2111</w:t>
            </w:r>
          </w:p>
        </w:tc>
        <w:tc>
          <w:tcPr>
            <w:tcW w:w="1252" w:type="dxa"/>
            <w:tcBorders>
              <w:top w:val="nil"/>
              <w:left w:val="nil"/>
              <w:bottom w:val="single" w:sz="4" w:space="0" w:color="auto"/>
              <w:right w:val="single" w:sz="4" w:space="0" w:color="auto"/>
            </w:tcBorders>
            <w:shd w:val="clear" w:color="auto" w:fill="auto"/>
            <w:noWrap/>
            <w:vAlign w:val="center"/>
            <w:hideMark/>
          </w:tcPr>
          <w:p w14:paraId="159C9829" w14:textId="77777777" w:rsidR="00C77739" w:rsidRPr="00BF1CB4" w:rsidRDefault="00C77739" w:rsidP="0045652A">
            <w:pPr>
              <w:jc w:val="center"/>
              <w:rPr>
                <w:rFonts w:ascii="Arial" w:hAnsi="Arial" w:cs="Arial"/>
                <w:color w:val="000000"/>
                <w:sz w:val="16"/>
                <w:szCs w:val="16"/>
                <w:lang w:val="es-MX" w:eastAsia="es-MX"/>
              </w:rPr>
            </w:pPr>
            <w:r w:rsidRPr="00BF1CB4">
              <w:rPr>
                <w:rFonts w:ascii="Arial" w:hAnsi="Arial" w:cs="Arial"/>
                <w:color w:val="000000"/>
                <w:sz w:val="16"/>
                <w:szCs w:val="16"/>
                <w:lang w:val="es-MX" w:eastAsia="es-MX"/>
              </w:rPr>
              <w:t>Cajas de cartón para archivo</w:t>
            </w:r>
          </w:p>
        </w:tc>
        <w:tc>
          <w:tcPr>
            <w:tcW w:w="1669" w:type="dxa"/>
            <w:tcBorders>
              <w:top w:val="nil"/>
              <w:left w:val="nil"/>
              <w:bottom w:val="single" w:sz="4" w:space="0" w:color="auto"/>
              <w:right w:val="single" w:sz="4" w:space="0" w:color="auto"/>
            </w:tcBorders>
            <w:shd w:val="clear" w:color="auto" w:fill="auto"/>
            <w:noWrap/>
            <w:vAlign w:val="center"/>
          </w:tcPr>
          <w:p w14:paraId="33860EA6" w14:textId="77777777" w:rsidR="00C77739" w:rsidRPr="00BF1CB4" w:rsidRDefault="00C77739" w:rsidP="0045652A">
            <w:pPr>
              <w:jc w:val="both"/>
              <w:rPr>
                <w:rFonts w:ascii="Arial" w:hAnsi="Arial" w:cs="Arial"/>
                <w:color w:val="000000"/>
                <w:sz w:val="16"/>
                <w:szCs w:val="16"/>
                <w:lang w:val="es-MX" w:eastAsia="es-MX"/>
              </w:rPr>
            </w:pPr>
            <w:r w:rsidRPr="00BF1CB4">
              <w:rPr>
                <w:rFonts w:ascii="Arial" w:hAnsi="Arial" w:cs="Arial"/>
                <w:color w:val="000000"/>
                <w:sz w:val="16"/>
                <w:szCs w:val="16"/>
                <w:lang w:val="es-MX" w:eastAsia="es-MX"/>
              </w:rPr>
              <w:t>Alta resistencia.</w:t>
            </w:r>
          </w:p>
          <w:p w14:paraId="38ECC129" w14:textId="77777777" w:rsidR="00C77739" w:rsidRPr="00BF1CB4" w:rsidRDefault="00C77739" w:rsidP="0045652A">
            <w:pPr>
              <w:jc w:val="both"/>
              <w:rPr>
                <w:rFonts w:ascii="Arial" w:hAnsi="Arial" w:cs="Arial"/>
                <w:color w:val="000000"/>
                <w:sz w:val="16"/>
                <w:szCs w:val="16"/>
                <w:lang w:val="es-MX" w:eastAsia="es-MX"/>
              </w:rPr>
            </w:pPr>
            <w:r w:rsidRPr="00BF1CB4">
              <w:rPr>
                <w:rFonts w:ascii="Arial" w:hAnsi="Arial" w:cs="Arial"/>
                <w:color w:val="000000"/>
                <w:sz w:val="16"/>
                <w:szCs w:val="16"/>
                <w:lang w:val="es-MX" w:eastAsia="es-MX"/>
              </w:rPr>
              <w:t xml:space="preserve">Sistema de apertura frontal abatible. </w:t>
            </w:r>
          </w:p>
          <w:p w14:paraId="6DBB06FA" w14:textId="77777777" w:rsidR="00C77739" w:rsidRPr="00BF1CB4" w:rsidRDefault="00C77739" w:rsidP="0045652A">
            <w:pPr>
              <w:jc w:val="both"/>
              <w:rPr>
                <w:rFonts w:ascii="Arial" w:hAnsi="Arial" w:cs="Arial"/>
                <w:color w:val="000000"/>
                <w:sz w:val="16"/>
                <w:szCs w:val="16"/>
                <w:lang w:val="es-MX" w:eastAsia="es-MX"/>
              </w:rPr>
            </w:pPr>
            <w:r w:rsidRPr="00BF1CB4">
              <w:rPr>
                <w:rFonts w:ascii="Arial" w:hAnsi="Arial" w:cs="Arial"/>
                <w:color w:val="000000"/>
                <w:sz w:val="16"/>
                <w:szCs w:val="16"/>
                <w:lang w:val="es-MX" w:eastAsia="es-MX"/>
              </w:rPr>
              <w:t>2 Perforaciones (</w:t>
            </w:r>
            <w:proofErr w:type="spellStart"/>
            <w:r w:rsidRPr="00BF1CB4">
              <w:rPr>
                <w:rFonts w:ascii="Arial" w:hAnsi="Arial" w:cs="Arial"/>
                <w:color w:val="000000"/>
                <w:sz w:val="16"/>
                <w:szCs w:val="16"/>
                <w:lang w:val="es-MX" w:eastAsia="es-MX"/>
              </w:rPr>
              <w:t>hand</w:t>
            </w:r>
            <w:proofErr w:type="spellEnd"/>
            <w:r w:rsidRPr="00BF1CB4">
              <w:rPr>
                <w:rFonts w:ascii="Arial" w:hAnsi="Arial" w:cs="Arial"/>
                <w:color w:val="000000"/>
                <w:sz w:val="16"/>
                <w:szCs w:val="16"/>
                <w:lang w:val="es-MX" w:eastAsia="es-MX"/>
              </w:rPr>
              <w:t xml:space="preserve"> </w:t>
            </w:r>
            <w:proofErr w:type="spellStart"/>
            <w:r w:rsidRPr="00BF1CB4">
              <w:rPr>
                <w:rFonts w:ascii="Arial" w:hAnsi="Arial" w:cs="Arial"/>
                <w:color w:val="000000"/>
                <w:sz w:val="16"/>
                <w:szCs w:val="16"/>
                <w:lang w:val="es-MX" w:eastAsia="es-MX"/>
              </w:rPr>
              <w:t>hold</w:t>
            </w:r>
            <w:proofErr w:type="spellEnd"/>
            <w:r w:rsidRPr="00BF1CB4">
              <w:rPr>
                <w:rFonts w:ascii="Arial" w:hAnsi="Arial" w:cs="Arial"/>
                <w:color w:val="000000"/>
                <w:sz w:val="16"/>
                <w:szCs w:val="16"/>
                <w:lang w:val="es-MX" w:eastAsia="es-MX"/>
              </w:rPr>
              <w:t>) para facilitar su transportación</w:t>
            </w:r>
          </w:p>
        </w:tc>
        <w:tc>
          <w:tcPr>
            <w:tcW w:w="976" w:type="dxa"/>
            <w:tcBorders>
              <w:top w:val="nil"/>
              <w:left w:val="nil"/>
              <w:bottom w:val="single" w:sz="4" w:space="0" w:color="auto"/>
              <w:right w:val="single" w:sz="4" w:space="0" w:color="auto"/>
            </w:tcBorders>
            <w:shd w:val="clear" w:color="auto" w:fill="auto"/>
            <w:noWrap/>
            <w:vAlign w:val="center"/>
          </w:tcPr>
          <w:p w14:paraId="3B0790CB" w14:textId="77777777" w:rsidR="00C77739" w:rsidRPr="00BF1CB4" w:rsidRDefault="00C77739" w:rsidP="0045652A">
            <w:pPr>
              <w:jc w:val="center"/>
              <w:rPr>
                <w:rFonts w:ascii="Arial" w:hAnsi="Arial" w:cs="Arial"/>
                <w:color w:val="000000"/>
                <w:sz w:val="16"/>
                <w:szCs w:val="16"/>
                <w:lang w:val="es-MX" w:eastAsia="es-MX"/>
              </w:rPr>
            </w:pPr>
            <w:r w:rsidRPr="00BF1CB4">
              <w:rPr>
                <w:rFonts w:ascii="Arial" w:hAnsi="Arial" w:cs="Arial"/>
                <w:color w:val="000000"/>
                <w:sz w:val="16"/>
                <w:szCs w:val="16"/>
                <w:lang w:val="es-MX" w:eastAsia="es-MX"/>
              </w:rPr>
              <w:t>1500</w:t>
            </w:r>
          </w:p>
        </w:tc>
        <w:tc>
          <w:tcPr>
            <w:tcW w:w="1216" w:type="dxa"/>
            <w:tcBorders>
              <w:top w:val="nil"/>
              <w:left w:val="nil"/>
              <w:bottom w:val="single" w:sz="4" w:space="0" w:color="auto"/>
              <w:right w:val="single" w:sz="4" w:space="0" w:color="auto"/>
            </w:tcBorders>
            <w:shd w:val="clear" w:color="auto" w:fill="auto"/>
            <w:noWrap/>
            <w:vAlign w:val="center"/>
          </w:tcPr>
          <w:p w14:paraId="2C4A8BD9" w14:textId="77777777" w:rsidR="00C77739" w:rsidRPr="00BF1CB4" w:rsidRDefault="00C77739" w:rsidP="0045652A">
            <w:pPr>
              <w:jc w:val="center"/>
              <w:rPr>
                <w:rFonts w:ascii="Arial" w:hAnsi="Arial" w:cs="Arial"/>
                <w:color w:val="000000"/>
                <w:sz w:val="16"/>
                <w:szCs w:val="16"/>
                <w:lang w:val="es-MX" w:eastAsia="es-MX"/>
              </w:rPr>
            </w:pPr>
            <w:r>
              <w:rPr>
                <w:rFonts w:ascii="Arial" w:hAnsi="Arial" w:cs="Arial"/>
                <w:color w:val="000000"/>
                <w:sz w:val="16"/>
                <w:szCs w:val="16"/>
                <w:lang w:val="es-MX" w:eastAsia="es-MX"/>
              </w:rPr>
              <w:t xml:space="preserve">Para cargar </w:t>
            </w:r>
            <w:r w:rsidRPr="00BF1CB4">
              <w:rPr>
                <w:rFonts w:ascii="Arial" w:hAnsi="Arial" w:cs="Arial"/>
                <w:color w:val="000000"/>
                <w:sz w:val="16"/>
                <w:szCs w:val="16"/>
                <w:lang w:val="es-MX" w:eastAsia="es-MX"/>
              </w:rPr>
              <w:t>14Kg a m</w:t>
            </w:r>
            <w:r>
              <w:rPr>
                <w:rFonts w:ascii="Arial" w:hAnsi="Arial" w:cs="Arial"/>
                <w:color w:val="000000"/>
                <w:sz w:val="16"/>
                <w:szCs w:val="16"/>
                <w:lang w:val="es-MX" w:eastAsia="es-MX"/>
              </w:rPr>
              <w:t xml:space="preserve">ás y </w:t>
            </w:r>
            <w:r w:rsidRPr="00BF1CB4">
              <w:rPr>
                <w:rFonts w:ascii="Arial" w:hAnsi="Arial" w:cs="Arial"/>
                <w:color w:val="000000"/>
                <w:sz w:val="16"/>
                <w:szCs w:val="16"/>
                <w:lang w:val="es-MX" w:eastAsia="es-MX"/>
              </w:rPr>
              <w:t xml:space="preserve">55 ETC </w:t>
            </w:r>
            <w:proofErr w:type="spellStart"/>
            <w:r w:rsidRPr="00BF1CB4">
              <w:rPr>
                <w:rFonts w:ascii="Arial" w:hAnsi="Arial" w:cs="Arial"/>
                <w:color w:val="000000"/>
                <w:sz w:val="16"/>
                <w:szCs w:val="16"/>
                <w:lang w:val="es-MX" w:eastAsia="es-MX"/>
              </w:rPr>
              <w:t>ó</w:t>
            </w:r>
            <w:proofErr w:type="spellEnd"/>
            <w:r w:rsidRPr="00BF1CB4">
              <w:rPr>
                <w:rFonts w:ascii="Arial" w:hAnsi="Arial" w:cs="Arial"/>
                <w:color w:val="000000"/>
                <w:sz w:val="16"/>
                <w:szCs w:val="16"/>
                <w:lang w:val="es-MX" w:eastAsia="es-MX"/>
              </w:rPr>
              <w:t xml:space="preserve"> más (resistencia a la compresión del borde)</w:t>
            </w:r>
          </w:p>
        </w:tc>
        <w:tc>
          <w:tcPr>
            <w:tcW w:w="1243" w:type="dxa"/>
            <w:tcBorders>
              <w:top w:val="nil"/>
              <w:left w:val="nil"/>
              <w:bottom w:val="single" w:sz="4" w:space="0" w:color="auto"/>
              <w:right w:val="nil"/>
            </w:tcBorders>
            <w:vAlign w:val="center"/>
          </w:tcPr>
          <w:p w14:paraId="42E3BDFA" w14:textId="77777777" w:rsidR="00C77739" w:rsidRPr="00BF1CB4" w:rsidRDefault="00C77739" w:rsidP="0045652A">
            <w:pPr>
              <w:jc w:val="center"/>
              <w:rPr>
                <w:rFonts w:ascii="Arial" w:hAnsi="Arial" w:cs="Arial"/>
                <w:color w:val="000000"/>
                <w:sz w:val="16"/>
                <w:szCs w:val="16"/>
                <w:lang w:val="es-MX" w:eastAsia="es-MX"/>
              </w:rPr>
            </w:pPr>
            <w:r>
              <w:rPr>
                <w:rFonts w:ascii="Arial" w:hAnsi="Arial" w:cs="Arial"/>
                <w:color w:val="000000"/>
                <w:sz w:val="16"/>
                <w:szCs w:val="16"/>
                <w:lang w:val="es-MX" w:eastAsia="es-MX"/>
              </w:rPr>
              <w:t>200 cajas</w:t>
            </w:r>
          </w:p>
        </w:tc>
        <w:tc>
          <w:tcPr>
            <w:tcW w:w="148" w:type="dxa"/>
            <w:tcBorders>
              <w:top w:val="nil"/>
              <w:left w:val="nil"/>
              <w:bottom w:val="single" w:sz="4" w:space="0" w:color="auto"/>
              <w:right w:val="single" w:sz="4" w:space="0" w:color="auto"/>
            </w:tcBorders>
            <w:vAlign w:val="center"/>
          </w:tcPr>
          <w:p w14:paraId="35FBF7DD" w14:textId="77777777" w:rsidR="00C77739" w:rsidRPr="00BF1CB4" w:rsidRDefault="00C77739" w:rsidP="0045652A">
            <w:pPr>
              <w:jc w:val="center"/>
              <w:rPr>
                <w:rFonts w:ascii="Arial" w:hAnsi="Arial" w:cs="Arial"/>
                <w:color w:val="000000"/>
                <w:sz w:val="16"/>
                <w:szCs w:val="16"/>
                <w:lang w:val="es-MX" w:eastAsia="es-MX"/>
              </w:rPr>
            </w:pPr>
          </w:p>
        </w:tc>
        <w:tc>
          <w:tcPr>
            <w:tcW w:w="1428" w:type="dxa"/>
            <w:tcBorders>
              <w:top w:val="nil"/>
              <w:left w:val="nil"/>
              <w:bottom w:val="single" w:sz="4" w:space="0" w:color="auto"/>
              <w:right w:val="single" w:sz="4" w:space="0" w:color="auto"/>
            </w:tcBorders>
            <w:vAlign w:val="center"/>
          </w:tcPr>
          <w:p w14:paraId="1E609D2C" w14:textId="77777777" w:rsidR="00C77739" w:rsidRPr="00BF1CB4" w:rsidRDefault="00C77739" w:rsidP="0045652A">
            <w:pPr>
              <w:jc w:val="center"/>
              <w:rPr>
                <w:rFonts w:ascii="Arial" w:hAnsi="Arial" w:cs="Arial"/>
                <w:color w:val="000000"/>
                <w:sz w:val="16"/>
                <w:szCs w:val="16"/>
                <w:lang w:val="es-MX" w:eastAsia="es-MX"/>
              </w:rPr>
            </w:pPr>
            <w:r>
              <w:rPr>
                <w:rFonts w:ascii="Arial" w:hAnsi="Arial" w:cs="Arial"/>
                <w:color w:val="000000"/>
                <w:sz w:val="16"/>
                <w:szCs w:val="16"/>
                <w:lang w:val="es-MX" w:eastAsia="es-MX"/>
              </w:rPr>
              <w:t>Se acordará en el contrato que se suscriba con el proveedor que resulte adjudicado.</w:t>
            </w:r>
          </w:p>
        </w:tc>
      </w:tr>
    </w:tbl>
    <w:p w14:paraId="5E4A0AF2" w14:textId="77777777" w:rsidR="008F6421" w:rsidRPr="001F5578" w:rsidRDefault="008F6421" w:rsidP="001F5578">
      <w:pPr>
        <w:jc w:val="both"/>
        <w:rPr>
          <w:rFonts w:ascii="Arial" w:hAnsi="Arial" w:cs="Arial"/>
          <w:b/>
          <w:highlight w:val="cyan"/>
        </w:rPr>
      </w:pPr>
    </w:p>
    <w:p w14:paraId="440A5E1B" w14:textId="6B9309E9" w:rsidR="0085731F" w:rsidRPr="001F5578" w:rsidRDefault="0085731F" w:rsidP="001F5578">
      <w:pPr>
        <w:jc w:val="both"/>
        <w:rPr>
          <w:rFonts w:ascii="Arial" w:hAnsi="Arial" w:cs="Arial"/>
          <w:b/>
        </w:rPr>
      </w:pPr>
      <w:r w:rsidRPr="001F5578">
        <w:rPr>
          <w:rFonts w:ascii="Arial" w:hAnsi="Arial" w:cs="Arial"/>
        </w:rPr>
        <w:t xml:space="preserve">Toda la partida será </w:t>
      </w:r>
      <w:r w:rsidR="00983A21" w:rsidRPr="001F5578">
        <w:rPr>
          <w:rFonts w:ascii="Arial" w:hAnsi="Arial" w:cs="Arial"/>
        </w:rPr>
        <w:t xml:space="preserve">adjudicada a un solo licitante. </w:t>
      </w: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C02254D" w:rsidR="00B55DC6" w:rsidRPr="00F224CB" w:rsidRDefault="00B55DC6" w:rsidP="00135360">
            <w:pPr>
              <w:jc w:val="both"/>
              <w:rPr>
                <w:rFonts w:ascii="Arial" w:hAnsi="Arial" w:cs="Arial"/>
                <w:sz w:val="20"/>
                <w:szCs w:val="20"/>
              </w:rPr>
            </w:pPr>
            <w:r w:rsidRPr="00F224CB">
              <w:rPr>
                <w:rFonts w:ascii="Arial" w:hAnsi="Arial" w:cs="Arial"/>
                <w:sz w:val="20"/>
                <w:szCs w:val="20"/>
              </w:rPr>
              <w:t xml:space="preserve">A más tardar a las 15:00 horas del día </w:t>
            </w:r>
            <w:r w:rsidR="00071B78">
              <w:rPr>
                <w:rFonts w:ascii="Arial" w:hAnsi="Arial" w:cs="Arial"/>
                <w:sz w:val="20"/>
                <w:szCs w:val="20"/>
              </w:rPr>
              <w:t xml:space="preserve">miércoles 30 de </w:t>
            </w:r>
            <w:r w:rsidR="00135360">
              <w:rPr>
                <w:rFonts w:ascii="Arial" w:hAnsi="Arial" w:cs="Arial"/>
                <w:sz w:val="20"/>
                <w:szCs w:val="20"/>
              </w:rPr>
              <w:t>mayo</w:t>
            </w:r>
            <w:r w:rsidRPr="00F224CB">
              <w:rPr>
                <w:rFonts w:ascii="Arial" w:hAnsi="Arial" w:cs="Arial"/>
                <w:sz w:val="20"/>
                <w:szCs w:val="20"/>
              </w:rPr>
              <w:t xml:space="preserve"> de 2018, enviarlas al correo </w:t>
            </w:r>
            <w:hyperlink r:id="rId8" w:history="1">
              <w:r w:rsidRPr="00F224CB">
                <w:rPr>
                  <w:rStyle w:val="Hipervnculo"/>
                  <w:rFonts w:ascii="Arial" w:hAnsi="Arial" w:cs="Arial"/>
                  <w:sz w:val="20"/>
                  <w:szCs w:val="20"/>
                </w:rPr>
                <w:t>proveedores@asej.gob.mx</w:t>
              </w:r>
            </w:hyperlink>
            <w:r w:rsidRPr="00F224CB">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5111112" w:rsidR="00B55DC6" w:rsidRPr="00F224CB" w:rsidRDefault="0004645A" w:rsidP="00F224CB">
            <w:pPr>
              <w:jc w:val="both"/>
              <w:rPr>
                <w:rFonts w:ascii="Arial" w:hAnsi="Arial" w:cs="Arial"/>
                <w:sz w:val="20"/>
                <w:szCs w:val="20"/>
              </w:rPr>
            </w:pPr>
            <w:r>
              <w:rPr>
                <w:rFonts w:ascii="Arial" w:hAnsi="Arial" w:cs="Arial"/>
                <w:sz w:val="20"/>
                <w:szCs w:val="20"/>
              </w:rPr>
              <w:t xml:space="preserve">Martes </w:t>
            </w:r>
            <w:r w:rsidR="00071B78">
              <w:rPr>
                <w:rFonts w:ascii="Arial" w:hAnsi="Arial" w:cs="Arial"/>
                <w:sz w:val="20"/>
                <w:szCs w:val="20"/>
              </w:rPr>
              <w:t xml:space="preserve">05 </w:t>
            </w:r>
            <w:r w:rsidR="00B55DC6" w:rsidRPr="00F224CB">
              <w:rPr>
                <w:rFonts w:ascii="Arial" w:hAnsi="Arial" w:cs="Arial"/>
                <w:sz w:val="20"/>
                <w:szCs w:val="20"/>
              </w:rPr>
              <w:t>de junio 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F224CB" w:rsidRDefault="00FF2528" w:rsidP="008F7AC9">
            <w:pPr>
              <w:jc w:val="both"/>
              <w:rPr>
                <w:rFonts w:ascii="Arial" w:hAnsi="Arial" w:cs="Arial"/>
                <w:sz w:val="20"/>
                <w:szCs w:val="20"/>
              </w:rPr>
            </w:pPr>
            <w:r w:rsidRPr="00F224CB">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E06D802" w:rsidR="00B55DC6" w:rsidRPr="00F224CB" w:rsidRDefault="00135360" w:rsidP="008F7AC9">
            <w:pPr>
              <w:jc w:val="both"/>
              <w:rPr>
                <w:rFonts w:ascii="Arial" w:hAnsi="Arial" w:cs="Arial"/>
                <w:sz w:val="20"/>
                <w:szCs w:val="20"/>
              </w:rPr>
            </w:pPr>
            <w:r>
              <w:rPr>
                <w:rFonts w:ascii="Arial" w:hAnsi="Arial" w:cs="Arial"/>
                <w:sz w:val="20"/>
                <w:szCs w:val="20"/>
              </w:rPr>
              <w:t>Lunes 11</w:t>
            </w:r>
            <w:r w:rsidR="00FF2528" w:rsidRPr="00F224CB">
              <w:rPr>
                <w:rFonts w:ascii="Arial" w:hAnsi="Arial" w:cs="Arial"/>
                <w:sz w:val="20"/>
                <w:szCs w:val="20"/>
              </w:rPr>
              <w:t xml:space="preserve"> de junio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F224CB" w:rsidRDefault="00B55DC6" w:rsidP="00F224CB">
            <w:pPr>
              <w:jc w:val="both"/>
              <w:rPr>
                <w:rFonts w:ascii="Arial" w:hAnsi="Arial" w:cs="Arial"/>
                <w:sz w:val="20"/>
                <w:szCs w:val="20"/>
              </w:rPr>
            </w:pPr>
            <w:r w:rsidRPr="00F224CB">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362" w:type="dxa"/>
            <w:vAlign w:val="center"/>
          </w:tcPr>
          <w:p w14:paraId="6C6FEDBB" w14:textId="77777777" w:rsidR="00B55DC6" w:rsidRPr="00F224CB" w:rsidRDefault="00B55DC6" w:rsidP="008F7AC9">
            <w:pPr>
              <w:jc w:val="both"/>
              <w:rPr>
                <w:rFonts w:ascii="Arial" w:hAnsi="Arial" w:cs="Arial"/>
                <w:sz w:val="20"/>
                <w:szCs w:val="20"/>
              </w:rPr>
            </w:pPr>
            <w:r w:rsidRPr="00F224CB">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F224CB" w:rsidRDefault="00B55DC6" w:rsidP="008F7AC9">
            <w:pPr>
              <w:jc w:val="both"/>
              <w:rPr>
                <w:rFonts w:ascii="Arial" w:hAnsi="Arial" w:cs="Arial"/>
                <w:sz w:val="20"/>
                <w:szCs w:val="20"/>
              </w:rPr>
            </w:pPr>
            <w:r w:rsidRPr="00F224CB">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lastRenderedPageBreak/>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1B860E6B" w:rsidR="0044664A" w:rsidRPr="001F5578" w:rsidRDefault="0044664A" w:rsidP="001F5578">
      <w:pPr>
        <w:jc w:val="both"/>
        <w:rPr>
          <w:rFonts w:ascii="Arial" w:hAnsi="Arial" w:cs="Arial"/>
          <w:b/>
        </w:rPr>
      </w:pPr>
      <w:r w:rsidRPr="001F5578">
        <w:rPr>
          <w:rFonts w:ascii="Arial" w:hAnsi="Arial" w:cs="Arial"/>
          <w:b/>
        </w:rPr>
        <w:t xml:space="preserve">6.1.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77777777" w:rsidR="00BE11C3" w:rsidRDefault="0044664A" w:rsidP="00BE11C3">
      <w:pPr>
        <w:pStyle w:val="Prrafodelista"/>
        <w:numPr>
          <w:ilvl w:val="1"/>
          <w:numId w:val="24"/>
        </w:numPr>
        <w:jc w:val="both"/>
        <w:rPr>
          <w:rFonts w:ascii="Arial" w:hAnsi="Arial" w:cs="Arial"/>
          <w:b/>
        </w:rPr>
      </w:pPr>
      <w:r w:rsidRPr="00BE11C3">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0F45C40B" w:rsidR="000A19F1" w:rsidRPr="001F5578" w:rsidRDefault="000A19F1" w:rsidP="001F5578">
      <w:pPr>
        <w:jc w:val="both"/>
        <w:rPr>
          <w:rFonts w:ascii="Arial" w:hAnsi="Arial" w:cs="Arial"/>
          <w:b/>
        </w:rPr>
      </w:pPr>
      <w:r w:rsidRPr="001F5578">
        <w:rPr>
          <w:rFonts w:ascii="Arial" w:hAnsi="Arial" w:cs="Arial"/>
          <w:b/>
        </w:rPr>
        <w:t>6.3</w:t>
      </w:r>
      <w:r w:rsidR="002858C0" w:rsidRPr="001F5578">
        <w:rPr>
          <w:rFonts w:ascii="Arial" w:hAnsi="Arial" w:cs="Arial"/>
          <w:b/>
        </w:rPr>
        <w:t>.</w:t>
      </w:r>
      <w:r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lastRenderedPageBreak/>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7777777"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ED31AE7"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Original y copia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r w:rsidRPr="001F5578">
        <w:rPr>
          <w:rFonts w:ascii="Arial" w:hAnsi="Arial" w:cs="Arial"/>
        </w:rPr>
        <w:t>Los documentos originales se</w:t>
      </w:r>
      <w:r w:rsidR="00E70B3D">
        <w:rPr>
          <w:rFonts w:ascii="Arial" w:hAnsi="Arial" w:cs="Arial"/>
        </w:rPr>
        <w:t>rán devueltos</w:t>
      </w:r>
      <w:r w:rsidRPr="001F5578">
        <w:rPr>
          <w:rFonts w:ascii="Arial" w:hAnsi="Arial" w:cs="Arial"/>
        </w:rPr>
        <w:t xml:space="preserve"> al propietario una vez que se cotejen con las copias presentadas.</w:t>
      </w:r>
    </w:p>
    <w:p w14:paraId="29C3BE24" w14:textId="0A412786"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Comprobante de domicilio vigente, original y copia simple. El original</w:t>
      </w:r>
      <w:r w:rsidR="00E70B3D">
        <w:rPr>
          <w:rFonts w:ascii="Arial" w:hAnsi="Arial" w:cs="Arial"/>
        </w:rPr>
        <w:t xml:space="preserve">, una vez cotejado, será regresado </w:t>
      </w:r>
      <w:r w:rsidRPr="001F5578">
        <w:rPr>
          <w:rFonts w:ascii="Arial" w:hAnsi="Arial" w:cs="Arial"/>
        </w:rPr>
        <w:t>al propietario.</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lastRenderedPageBreak/>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bookmarkStart w:id="0" w:name="_GoBack"/>
      <w:bookmarkEnd w:id="0"/>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lastRenderedPageBreak/>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w:t>
      </w:r>
      <w:r w:rsidRPr="001F5578">
        <w:rPr>
          <w:rFonts w:ascii="Arial" w:hAnsi="Arial" w:cs="Arial"/>
        </w:rPr>
        <w:lastRenderedPageBreak/>
        <w:t>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E049" w14:textId="77777777" w:rsidR="007B73FF" w:rsidRDefault="007B73FF">
      <w:r>
        <w:separator/>
      </w:r>
    </w:p>
  </w:endnote>
  <w:endnote w:type="continuationSeparator" w:id="0">
    <w:p w14:paraId="55AF4DFA" w14:textId="77777777" w:rsidR="007B73FF" w:rsidRDefault="007B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6357BDF0" w:rsidR="00D650B1" w:rsidRPr="00290072" w:rsidRDefault="001F5578" w:rsidP="001F5578">
    <w:pPr>
      <w:spacing w:line="276" w:lineRule="auto"/>
      <w:jc w:val="both"/>
      <w:rPr>
        <w:rFonts w:ascii="Arial" w:hAnsi="Arial" w:cs="Arial"/>
        <w:sz w:val="16"/>
        <w:szCs w:val="16"/>
      </w:rPr>
    </w:pPr>
    <w:r w:rsidRPr="00556721">
      <w:rPr>
        <w:rFonts w:ascii="Arial" w:hAnsi="Arial" w:cs="Arial"/>
        <w:sz w:val="16"/>
        <w:szCs w:val="16"/>
      </w:rPr>
      <w:t>LICITACIÓN PÚBLICA LP-SC-00</w:t>
    </w:r>
    <w:r w:rsidR="004D759B">
      <w:rPr>
        <w:rFonts w:ascii="Arial" w:hAnsi="Arial" w:cs="Arial"/>
        <w:sz w:val="16"/>
        <w:szCs w:val="16"/>
      </w:rPr>
      <w:t>2</w:t>
    </w:r>
    <w:r w:rsidRPr="00556721">
      <w:rPr>
        <w:rFonts w:ascii="Arial" w:hAnsi="Arial" w:cs="Arial"/>
        <w:sz w:val="16"/>
        <w:szCs w:val="16"/>
      </w:rPr>
      <w:t xml:space="preserve">-2018 “ADQUISICIÓN DE </w:t>
    </w:r>
    <w:r w:rsidR="004D759B">
      <w:rPr>
        <w:rFonts w:ascii="Arial" w:hAnsi="Arial" w:cs="Arial"/>
        <w:sz w:val="16"/>
        <w:szCs w:val="16"/>
      </w:rPr>
      <w:t>CAJAS DE CARTÓN PARA ARCHIVO</w:t>
    </w:r>
    <w:r w:rsidRPr="00556721">
      <w:rPr>
        <w:rFonts w:ascii="Arial" w:hAnsi="Arial" w:cs="Arial"/>
        <w:sz w:val="16"/>
        <w:szCs w:val="16"/>
      </w:rPr>
      <w:t>”.</w:t>
    </w:r>
    <w:r>
      <w:rPr>
        <w:rFonts w:ascii="Arial" w:hAnsi="Arial" w:cs="Arial"/>
        <w:sz w:val="16"/>
        <w:szCs w:val="16"/>
      </w:rPr>
      <w:t xml:space="preserve"> </w:t>
    </w:r>
    <w:r>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BF3161">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C78AE" w14:textId="77777777" w:rsidR="007B73FF" w:rsidRDefault="007B73FF">
      <w:r>
        <w:separator/>
      </w:r>
    </w:p>
  </w:footnote>
  <w:footnote w:type="continuationSeparator" w:id="0">
    <w:p w14:paraId="077CFEA3" w14:textId="77777777" w:rsidR="007B73FF" w:rsidRDefault="007B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1"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7"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4"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0"/>
  </w:num>
  <w:num w:numId="2">
    <w:abstractNumId w:val="0"/>
  </w:num>
  <w:num w:numId="3">
    <w:abstractNumId w:val="24"/>
  </w:num>
  <w:num w:numId="4">
    <w:abstractNumId w:val="3"/>
  </w:num>
  <w:num w:numId="5">
    <w:abstractNumId w:val="11"/>
  </w:num>
  <w:num w:numId="6">
    <w:abstractNumId w:val="19"/>
  </w:num>
  <w:num w:numId="7">
    <w:abstractNumId w:val="1"/>
  </w:num>
  <w:num w:numId="8">
    <w:abstractNumId w:val="22"/>
  </w:num>
  <w:num w:numId="9">
    <w:abstractNumId w:val="9"/>
  </w:num>
  <w:num w:numId="10">
    <w:abstractNumId w:val="14"/>
  </w:num>
  <w:num w:numId="11">
    <w:abstractNumId w:val="18"/>
  </w:num>
  <w:num w:numId="12">
    <w:abstractNumId w:val="6"/>
  </w:num>
  <w:num w:numId="13">
    <w:abstractNumId w:val="16"/>
  </w:num>
  <w:num w:numId="14">
    <w:abstractNumId w:val="8"/>
  </w:num>
  <w:num w:numId="15">
    <w:abstractNumId w:val="17"/>
  </w:num>
  <w:num w:numId="16">
    <w:abstractNumId w:val="21"/>
  </w:num>
  <w:num w:numId="17">
    <w:abstractNumId w:val="20"/>
  </w:num>
  <w:num w:numId="18">
    <w:abstractNumId w:val="2"/>
  </w:num>
  <w:num w:numId="19">
    <w:abstractNumId w:val="7"/>
  </w:num>
  <w:num w:numId="20">
    <w:abstractNumId w:val="4"/>
  </w:num>
  <w:num w:numId="21">
    <w:abstractNumId w:val="12"/>
  </w:num>
  <w:num w:numId="22">
    <w:abstractNumId w:val="23"/>
  </w:num>
  <w:num w:numId="23">
    <w:abstractNumId w:val="15"/>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F0212"/>
    <w:rsid w:val="0010176F"/>
    <w:rsid w:val="001239A8"/>
    <w:rsid w:val="00135360"/>
    <w:rsid w:val="00146047"/>
    <w:rsid w:val="00146A3C"/>
    <w:rsid w:val="001504AC"/>
    <w:rsid w:val="00194BCB"/>
    <w:rsid w:val="0019786B"/>
    <w:rsid w:val="001A636B"/>
    <w:rsid w:val="001D22B6"/>
    <w:rsid w:val="001D7ED2"/>
    <w:rsid w:val="001E0CD8"/>
    <w:rsid w:val="001E239B"/>
    <w:rsid w:val="001F1872"/>
    <w:rsid w:val="001F5578"/>
    <w:rsid w:val="0021131D"/>
    <w:rsid w:val="00212FD3"/>
    <w:rsid w:val="00222319"/>
    <w:rsid w:val="00235FD3"/>
    <w:rsid w:val="00255E93"/>
    <w:rsid w:val="00281CBD"/>
    <w:rsid w:val="002858C0"/>
    <w:rsid w:val="002B0DCD"/>
    <w:rsid w:val="002B3D73"/>
    <w:rsid w:val="002C6380"/>
    <w:rsid w:val="002D1EBF"/>
    <w:rsid w:val="002E2CE2"/>
    <w:rsid w:val="002F15C4"/>
    <w:rsid w:val="0030223D"/>
    <w:rsid w:val="0032345A"/>
    <w:rsid w:val="00331945"/>
    <w:rsid w:val="00334899"/>
    <w:rsid w:val="00336559"/>
    <w:rsid w:val="003403A2"/>
    <w:rsid w:val="003416CA"/>
    <w:rsid w:val="003419CE"/>
    <w:rsid w:val="0035172F"/>
    <w:rsid w:val="0036776D"/>
    <w:rsid w:val="003741D4"/>
    <w:rsid w:val="00380002"/>
    <w:rsid w:val="00385A16"/>
    <w:rsid w:val="003942D1"/>
    <w:rsid w:val="003A0A69"/>
    <w:rsid w:val="003A79FF"/>
    <w:rsid w:val="003B022B"/>
    <w:rsid w:val="003B69F3"/>
    <w:rsid w:val="003C477E"/>
    <w:rsid w:val="003D1E76"/>
    <w:rsid w:val="003D7D20"/>
    <w:rsid w:val="003E6771"/>
    <w:rsid w:val="004030F4"/>
    <w:rsid w:val="0042359A"/>
    <w:rsid w:val="00424635"/>
    <w:rsid w:val="004310AD"/>
    <w:rsid w:val="00432A1B"/>
    <w:rsid w:val="00436D5C"/>
    <w:rsid w:val="004400F7"/>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76EB"/>
    <w:rsid w:val="00591332"/>
    <w:rsid w:val="005B1148"/>
    <w:rsid w:val="005C0AC0"/>
    <w:rsid w:val="005C6FF9"/>
    <w:rsid w:val="005D5E65"/>
    <w:rsid w:val="005E0156"/>
    <w:rsid w:val="005E615C"/>
    <w:rsid w:val="005E7043"/>
    <w:rsid w:val="005F3475"/>
    <w:rsid w:val="006457E0"/>
    <w:rsid w:val="006500C3"/>
    <w:rsid w:val="00650155"/>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410CB"/>
    <w:rsid w:val="007450BA"/>
    <w:rsid w:val="007513A6"/>
    <w:rsid w:val="00753202"/>
    <w:rsid w:val="00765DB6"/>
    <w:rsid w:val="00773D28"/>
    <w:rsid w:val="007754FC"/>
    <w:rsid w:val="007964FA"/>
    <w:rsid w:val="007A649E"/>
    <w:rsid w:val="007A6D16"/>
    <w:rsid w:val="007B73FF"/>
    <w:rsid w:val="007C4791"/>
    <w:rsid w:val="007C5B7D"/>
    <w:rsid w:val="007D3BF3"/>
    <w:rsid w:val="007D7C41"/>
    <w:rsid w:val="007E73E2"/>
    <w:rsid w:val="007F2C43"/>
    <w:rsid w:val="008031DB"/>
    <w:rsid w:val="0080786C"/>
    <w:rsid w:val="00815518"/>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EE9"/>
    <w:rsid w:val="00887DB5"/>
    <w:rsid w:val="00894384"/>
    <w:rsid w:val="008B5AA1"/>
    <w:rsid w:val="008C3F27"/>
    <w:rsid w:val="008E00F6"/>
    <w:rsid w:val="008E332F"/>
    <w:rsid w:val="008F6421"/>
    <w:rsid w:val="0091050C"/>
    <w:rsid w:val="009362A5"/>
    <w:rsid w:val="009513D9"/>
    <w:rsid w:val="00955CE0"/>
    <w:rsid w:val="00983740"/>
    <w:rsid w:val="00983A21"/>
    <w:rsid w:val="0098602A"/>
    <w:rsid w:val="009A3C8E"/>
    <w:rsid w:val="009C14C0"/>
    <w:rsid w:val="009C41A0"/>
    <w:rsid w:val="009D5C7E"/>
    <w:rsid w:val="009E3035"/>
    <w:rsid w:val="009E3287"/>
    <w:rsid w:val="00A01870"/>
    <w:rsid w:val="00A10C5E"/>
    <w:rsid w:val="00A169AD"/>
    <w:rsid w:val="00A20B10"/>
    <w:rsid w:val="00A32046"/>
    <w:rsid w:val="00A41F82"/>
    <w:rsid w:val="00A5204B"/>
    <w:rsid w:val="00A635B8"/>
    <w:rsid w:val="00A7114F"/>
    <w:rsid w:val="00A773BF"/>
    <w:rsid w:val="00A9418C"/>
    <w:rsid w:val="00AA04B3"/>
    <w:rsid w:val="00AA6958"/>
    <w:rsid w:val="00AC6218"/>
    <w:rsid w:val="00AD6F98"/>
    <w:rsid w:val="00AE0450"/>
    <w:rsid w:val="00AE5D14"/>
    <w:rsid w:val="00AF56C4"/>
    <w:rsid w:val="00B05790"/>
    <w:rsid w:val="00B07BEC"/>
    <w:rsid w:val="00B14FE5"/>
    <w:rsid w:val="00B22025"/>
    <w:rsid w:val="00B40935"/>
    <w:rsid w:val="00B5157C"/>
    <w:rsid w:val="00B51D24"/>
    <w:rsid w:val="00B55DC6"/>
    <w:rsid w:val="00B752EE"/>
    <w:rsid w:val="00B834DF"/>
    <w:rsid w:val="00BA471D"/>
    <w:rsid w:val="00BA7A96"/>
    <w:rsid w:val="00BB2F09"/>
    <w:rsid w:val="00BC21B8"/>
    <w:rsid w:val="00BC3B36"/>
    <w:rsid w:val="00BD083B"/>
    <w:rsid w:val="00BD18AB"/>
    <w:rsid w:val="00BD252F"/>
    <w:rsid w:val="00BE11C3"/>
    <w:rsid w:val="00BE3FFD"/>
    <w:rsid w:val="00BF3161"/>
    <w:rsid w:val="00C05EC7"/>
    <w:rsid w:val="00C1160E"/>
    <w:rsid w:val="00C2642A"/>
    <w:rsid w:val="00C31B9F"/>
    <w:rsid w:val="00C34AF9"/>
    <w:rsid w:val="00C42862"/>
    <w:rsid w:val="00C42DB9"/>
    <w:rsid w:val="00C56C03"/>
    <w:rsid w:val="00C662C9"/>
    <w:rsid w:val="00C66CC8"/>
    <w:rsid w:val="00C77739"/>
    <w:rsid w:val="00CB0000"/>
    <w:rsid w:val="00CB6497"/>
    <w:rsid w:val="00CC3331"/>
    <w:rsid w:val="00CF174A"/>
    <w:rsid w:val="00D06F24"/>
    <w:rsid w:val="00D25EFE"/>
    <w:rsid w:val="00D36C4A"/>
    <w:rsid w:val="00D6200F"/>
    <w:rsid w:val="00D650B1"/>
    <w:rsid w:val="00D66697"/>
    <w:rsid w:val="00D74063"/>
    <w:rsid w:val="00D82B8F"/>
    <w:rsid w:val="00D91A19"/>
    <w:rsid w:val="00D94F68"/>
    <w:rsid w:val="00DD45E3"/>
    <w:rsid w:val="00DE2E42"/>
    <w:rsid w:val="00DE43F5"/>
    <w:rsid w:val="00E02F4D"/>
    <w:rsid w:val="00E12678"/>
    <w:rsid w:val="00E2418A"/>
    <w:rsid w:val="00E4098C"/>
    <w:rsid w:val="00E4487C"/>
    <w:rsid w:val="00E4595B"/>
    <w:rsid w:val="00E70B3D"/>
    <w:rsid w:val="00E766F8"/>
    <w:rsid w:val="00E86984"/>
    <w:rsid w:val="00E921D8"/>
    <w:rsid w:val="00E9663B"/>
    <w:rsid w:val="00EB6F70"/>
    <w:rsid w:val="00ED66C1"/>
    <w:rsid w:val="00EE0D35"/>
    <w:rsid w:val="00EE10BE"/>
    <w:rsid w:val="00EF5F0B"/>
    <w:rsid w:val="00F04915"/>
    <w:rsid w:val="00F15FF9"/>
    <w:rsid w:val="00F2053E"/>
    <w:rsid w:val="00F224CB"/>
    <w:rsid w:val="00F3184C"/>
    <w:rsid w:val="00F46F3B"/>
    <w:rsid w:val="00F47AB8"/>
    <w:rsid w:val="00F47C9C"/>
    <w:rsid w:val="00F51995"/>
    <w:rsid w:val="00F637CF"/>
    <w:rsid w:val="00F64C34"/>
    <w:rsid w:val="00F812DE"/>
    <w:rsid w:val="00F84FC4"/>
    <w:rsid w:val="00F94FCA"/>
    <w:rsid w:val="00FA1EFD"/>
    <w:rsid w:val="00FA4D69"/>
    <w:rsid w:val="00FA7C99"/>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58D7-FEF9-494C-ADBF-BA29AEDD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2890</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18</cp:revision>
  <cp:lastPrinted>2018-03-22T19:02:00Z</cp:lastPrinted>
  <dcterms:created xsi:type="dcterms:W3CDTF">2018-05-25T16:04:00Z</dcterms:created>
  <dcterms:modified xsi:type="dcterms:W3CDTF">2018-05-25T19:19:00Z</dcterms:modified>
</cp:coreProperties>
</file>